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02E8" w14:textId="77777777" w:rsidR="004B5CE1" w:rsidRDefault="004B5CE1" w:rsidP="004B5CE1">
      <w:pPr>
        <w:jc w:val="center"/>
        <w:rPr>
          <w:lang w:val="pl-PL"/>
        </w:rPr>
      </w:pPr>
      <w:r w:rsidRPr="004B5CE1">
        <w:rPr>
          <w:lang w:val="pl-PL"/>
        </w:rPr>
        <w:t>APEL DOT. DOSTĘPU DO LEKU AGAMREE (VAMOROLONE)</w:t>
      </w:r>
    </w:p>
    <w:p w14:paraId="37AC3B71" w14:textId="77777777" w:rsidR="004B5CE1" w:rsidRPr="004B5CE1" w:rsidRDefault="004B5CE1" w:rsidP="004B5CE1">
      <w:pPr>
        <w:jc w:val="center"/>
        <w:rPr>
          <w:lang w:val="pl-PL"/>
        </w:rPr>
      </w:pPr>
    </w:p>
    <w:p w14:paraId="34DD34AE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[Imię i nazwisko]</w:t>
      </w:r>
    </w:p>
    <w:p w14:paraId="253ACC1B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[Miasto]</w:t>
      </w:r>
    </w:p>
    <w:p w14:paraId="5BB4F9EE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[E-mail]</w:t>
      </w:r>
    </w:p>
    <w:p w14:paraId="5F99B766" w14:textId="77777777" w:rsidR="004B5CE1" w:rsidRDefault="004B5CE1" w:rsidP="004B5CE1">
      <w:pPr>
        <w:rPr>
          <w:lang w:val="pl-PL"/>
        </w:rPr>
      </w:pPr>
    </w:p>
    <w:p w14:paraId="48E4FC4C" w14:textId="386D992A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Do: Minister Zdrowia</w:t>
      </w:r>
    </w:p>
    <w:p w14:paraId="13AFCB79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Do wiadomości: Prezes AOTMiT</w:t>
      </w:r>
    </w:p>
    <w:p w14:paraId="5A1DAEF5" w14:textId="77777777" w:rsidR="004B5CE1" w:rsidRDefault="004B5CE1" w:rsidP="004B5CE1">
      <w:pPr>
        <w:rPr>
          <w:lang w:val="pl-PL"/>
        </w:rPr>
      </w:pPr>
      <w:r w:rsidRPr="004B5CE1">
        <w:rPr>
          <w:lang w:val="pl-PL"/>
        </w:rPr>
        <w:t>Dotyczy: dostępu do leczenia sterydem nowej generacji Agamree (vamorolone)  dla dzieci z dystrofią mięśniową Duchenne’a (DMD)</w:t>
      </w:r>
    </w:p>
    <w:p w14:paraId="3C20B2BD" w14:textId="77777777" w:rsidR="004B5CE1" w:rsidRPr="004B5CE1" w:rsidRDefault="004B5CE1" w:rsidP="004B5CE1">
      <w:pPr>
        <w:rPr>
          <w:lang w:val="pl-PL"/>
        </w:rPr>
      </w:pPr>
    </w:p>
    <w:p w14:paraId="3FCDCA37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Szanowny Panie Ministrze,</w:t>
      </w:r>
    </w:p>
    <w:p w14:paraId="54D37852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Szanowni Państwo,</w:t>
      </w:r>
    </w:p>
    <w:p w14:paraId="4FBBC18C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zwracam się z prośbą o ponowne przeanalizowanie decyzji dotyczącej refundacji leku Agamree (vamorolone), który pierwszym lekiem steroidowym opracowanym specjalnie dla dystrofii mięśniowej Duchenne’a (DMD). Dziś dzieci z DMD w Polsce leczone są głównie klasycznymi steroidami, takimi jak prednizon czy deflazacort, które nie zostały „zaadaptowane” do tej choroby — wykorzystywane, ponieważ przez lata nie było alternatywy. Jednak ich stosowanie wiąże się z istotnym kompromisem:</w:t>
      </w:r>
    </w:p>
    <w:p w14:paraId="70FCF6F1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• z jednej strony pomagają spowolnić przebieg choroby,</w:t>
      </w:r>
    </w:p>
    <w:p w14:paraId="339A68A6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• z drugiej — powodują poważne działania niepożądane.</w:t>
      </w:r>
    </w:p>
    <w:p w14:paraId="45AD6DC3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Najbardziej dotkliwe to:</w:t>
      </w:r>
    </w:p>
    <w:p w14:paraId="2958BA4B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• zahamowanie wzrostu,</w:t>
      </w:r>
    </w:p>
    <w:p w14:paraId="4BEF8AAA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• osłabienie kości,</w:t>
      </w:r>
    </w:p>
    <w:p w14:paraId="3FA7772C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• złamania kręgów i deformacje kręgosłupa.</w:t>
      </w:r>
    </w:p>
    <w:p w14:paraId="16939D8A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To są realne problemy, z którymi nasze dzieci mierzą się każdego dnia.</w:t>
      </w:r>
    </w:p>
    <w:p w14:paraId="380F86B5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Jako rodzic/opiekun dziecka chorego na DMD widzę, jak ogromne znaczenie ma dostęp do bezpiecznego leczenia.</w:t>
      </w:r>
    </w:p>
    <w:p w14:paraId="46AFA3D9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Z oceny AOTMiT wynika, że lek nie jest mniej skuteczny niż obecne leczenie i może mieć korzystniejszy profil bezpieczeństwa w kluczowych obszarach, w szczególności:</w:t>
      </w:r>
    </w:p>
    <w:p w14:paraId="5B2D8A5B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lastRenderedPageBreak/>
        <w:t>• w zakresie wzrastania,</w:t>
      </w:r>
    </w:p>
    <w:p w14:paraId="7D21ACAE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• markerów obrotu kostnego,</w:t>
      </w:r>
    </w:p>
    <w:p w14:paraId="0FEA976F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• wybranych parametrów behawioralnych.</w:t>
      </w:r>
    </w:p>
    <w:p w14:paraId="35C0397E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Te obszary mają znaczenie zasadnicze dla jakości życia pacjentów z DMD. W ocenie klinicznej kluczowe znaczenie ma jednak nie tylko liczba działań niepożądanych, lecz ich charakter, odwracalność i wpływ na funkcjonowanie pacjenta w długim okresie. Z kolei brak przewagi w zakresie niektórych innych parametrów bezpieczeństwa (np. masa ciała czy wybrane zdarzenia niepożądane o mniejszym znaczeniu klinicznym) nie powinien mieć równoważnej wagi decyzyjnej w procesie oceny technologii.</w:t>
      </w:r>
    </w:p>
    <w:p w14:paraId="2A6A6B25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Brak refundacji nie jest decyzją neutralną. To oznacza, że nasze dzieci nadal będą narażone na znane powikłania steroidów, nie dostaną szansy na potencjalnie bezpieczniejsze leczenie, a kolejna generacja dzieci zostanie pozostawiona bez realnej zmiany.</w:t>
      </w:r>
    </w:p>
    <w:p w14:paraId="4F9D3226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Obecna sytuacja prowadzi do trudnego i niezrozumiałego z perspektywy pacjentów paradoksu:</w:t>
      </w:r>
    </w:p>
    <w:p w14:paraId="5C99AF20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• z jednej strony podkreśla się brak dostępności terapii genowych w Europie ze względu na siłę dowodu klinicznego w stosunku do bezpieczeństwa, </w:t>
      </w:r>
    </w:p>
    <w:p w14:paraId="0EE037DE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• z drugiej – odrzucany jest dostęp do leku steroidowego nowej generacji o potwierdzonej skuteczności porównywalnej do obecnie stosowanych steroidów i o potencjalnie korzystniejszym profilu bezpieczeństwa – leku, który został zatwierdzony i jest stosowany w innych krajach w praktyce klinicznej (np. w Niemczech).</w:t>
      </w:r>
    </w:p>
    <w:p w14:paraId="4ACBFFF0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W efekcie pacjenci w Polsce pozostają bez dostępu zarówno do nowoczesnych terapii przyczynowych, jak i ulepszonych terapii objawowych.</w:t>
      </w:r>
    </w:p>
    <w:p w14:paraId="0F266E2F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Wiemy, że dane kliniczne mają ograniczeni i dotyczy to także terapii genowych. Nie oznacza to, że leczenie nie działa. W przypadku Agamree nie wykazał gorszej skuteczności funkcjonalnej względem standardowych glikokortykosteroidów, jednocześnie istnieją sygnały wskazujące na potencjalnie korzystniejszy profil bezpieczeństwa w kluczowych obszarach. Oznacza to, że bilans dowodów wskazuje, że prawdopodobieństwo korzyści przewyższa ryzyko pogorszenia względem obecnego standardu leczenia.</w:t>
      </w:r>
    </w:p>
    <w:p w14:paraId="505DCC4D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 xml:space="preserve">W takiej sytuacji brak dostępu do terapii nie jest decyzją neutralną – oznacza w praktyce świadome utrzymanie terapii, której długoterminowe powikłania są dobrze udokumentowane, przy jednoczesnej rezygnacji z możliwości ich ograniczenia. Ograniczenia metodologiczne są nieuniknione w tej chorobie, dlatego wymagają innego modelu podejmowania decyzji — a nie wstrzymania dostępu do terapii. Dlatego prosimy o zastosowanie podejścia „leczyć i jednocześnie zbierać dane (real-world data)” czyli o </w:t>
      </w:r>
      <w:r w:rsidRPr="004B5CE1">
        <w:rPr>
          <w:lang w:val="pl-PL"/>
        </w:rPr>
        <w:lastRenderedPageBreak/>
        <w:t>wprowadzenie leczenia dla dzieci i jednoczesne monitorowanie efektów oraz podejmowanie dalszych decyzji na podstawie rzeczywistych wyników. Tak działa wiele krajów w przypadku chorób rzadkich.</w:t>
      </w:r>
    </w:p>
    <w:p w14:paraId="39738DE6" w14:textId="3AAA7595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Wiemy, że leczenie jest drogie, ale wiemy także, że negocjacje cen leków są kolejnym etapem procesu. Doświadczenia międzynarodowe pokazują, że cena terapii innowacyjnych może ulec znacznemu obniżeniu w wyniku negocjacji, przykładem jest terapia genowa Elevidys, której cena katalogowa w USA wynosi ok. 3,2 mln USD, natomiast w Japonii, po negocjacjach z płatnikiem publicznym, ustalono cenę refundacyjną na poziomie ok. 304 972 042JPY (ok. 2 mln USD).</w:t>
      </w:r>
    </w:p>
    <w:p w14:paraId="211787EC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Dlatego prosimy, aby nie zamykać drogi do leczenia przed próbą negocjacji ceny Agamree.</w:t>
      </w:r>
    </w:p>
    <w:p w14:paraId="1EC63AA2" w14:textId="77777777" w:rsidR="004B5CE1" w:rsidRPr="004B5CE1" w:rsidRDefault="004B5CE1" w:rsidP="004B5CE1">
      <w:pPr>
        <w:rPr>
          <w:lang w:val="pl-PL"/>
        </w:rPr>
      </w:pPr>
      <w:r w:rsidRPr="004B5CE1">
        <w:rPr>
          <w:lang w:val="pl-PL"/>
        </w:rPr>
        <w:t>Prosimy o ponowne przeanalizowanie decyzji, umożliwienie negocjacji ceny, rozważenie refundacji w ograniczonej grupie dzieci i wprowadzenie modelu „leczyć i obserwować”.</w:t>
      </w:r>
    </w:p>
    <w:p w14:paraId="35C420C9" w14:textId="77777777" w:rsidR="004B5CE1" w:rsidRDefault="004B5CE1" w:rsidP="004B5CE1">
      <w:pPr>
        <w:rPr>
          <w:lang w:val="pl-PL"/>
        </w:rPr>
      </w:pPr>
      <w:r w:rsidRPr="004B5CE1">
        <w:rPr>
          <w:lang w:val="pl-PL"/>
        </w:rPr>
        <w:t>Dla naszych dzieci czas ma ogromne znaczenie.</w:t>
      </w:r>
    </w:p>
    <w:p w14:paraId="363B4373" w14:textId="77777777" w:rsidR="004B5CE1" w:rsidRPr="004B5CE1" w:rsidRDefault="004B5CE1" w:rsidP="004B5CE1">
      <w:pPr>
        <w:rPr>
          <w:lang w:val="pl-PL"/>
        </w:rPr>
      </w:pPr>
    </w:p>
    <w:p w14:paraId="402A80E2" w14:textId="77777777" w:rsidR="004B5CE1" w:rsidRPr="004B5CE1" w:rsidRDefault="004B5CE1" w:rsidP="004B5CE1">
      <w:r w:rsidRPr="004B5CE1">
        <w:t xml:space="preserve">Z </w:t>
      </w:r>
      <w:proofErr w:type="spellStart"/>
      <w:r w:rsidRPr="004B5CE1">
        <w:t>wyrazami</w:t>
      </w:r>
      <w:proofErr w:type="spellEnd"/>
      <w:r w:rsidRPr="004B5CE1">
        <w:t xml:space="preserve"> </w:t>
      </w:r>
      <w:proofErr w:type="spellStart"/>
      <w:r w:rsidRPr="004B5CE1">
        <w:t>szacunku</w:t>
      </w:r>
      <w:proofErr w:type="spellEnd"/>
      <w:r w:rsidRPr="004B5CE1">
        <w:t>,</w:t>
      </w:r>
    </w:p>
    <w:p w14:paraId="0412B537" w14:textId="77777777" w:rsidR="00E422F7" w:rsidRDefault="00E422F7"/>
    <w:sectPr w:rsidR="00E42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E1"/>
    <w:rsid w:val="004B5CE1"/>
    <w:rsid w:val="008E4301"/>
    <w:rsid w:val="00E4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23F6D"/>
  <w15:chartTrackingRefBased/>
  <w15:docId w15:val="{5AD11CFB-5958-44BB-9927-47598086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C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5C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4182</Characters>
  <Application>Microsoft Office Word</Application>
  <DocSecurity>0</DocSecurity>
  <Lines>80</Lines>
  <Paragraphs>40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Orlik (ext)</dc:creator>
  <cp:keywords/>
  <dc:description/>
  <cp:lastModifiedBy>Alicja Orlik (ext)</cp:lastModifiedBy>
  <cp:revision>1</cp:revision>
  <dcterms:created xsi:type="dcterms:W3CDTF">2026-03-26T17:45:00Z</dcterms:created>
  <dcterms:modified xsi:type="dcterms:W3CDTF">2026-03-26T17:47:00Z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18307a-e70e-4ab4-836a-2d3f2c118089_Enabled">
    <vt:lpwstr>true</vt:lpwstr>
  </property>
  <property fmtid="{D5CDD505-2E9C-101B-9397-08002B2CF9AE}" pid="3" name="MSIP_Label_a418307a-e70e-4ab4-836a-2d3f2c118089_SetDate">
    <vt:lpwstr>2026-03-26T17:47:37Z</vt:lpwstr>
  </property>
  <property fmtid="{D5CDD505-2E9C-101B-9397-08002B2CF9AE}" pid="4" name="MSIP_Label_a418307a-e70e-4ab4-836a-2d3f2c118089_Method">
    <vt:lpwstr>Standard</vt:lpwstr>
  </property>
  <property fmtid="{D5CDD505-2E9C-101B-9397-08002B2CF9AE}" pid="5" name="MSIP_Label_a418307a-e70e-4ab4-836a-2d3f2c118089_Name">
    <vt:lpwstr>Restricted</vt:lpwstr>
  </property>
  <property fmtid="{D5CDD505-2E9C-101B-9397-08002B2CF9AE}" pid="6" name="MSIP_Label_a418307a-e70e-4ab4-836a-2d3f2c118089_SiteId">
    <vt:lpwstr>ea407dc3-1c72-4b70-8604-0159974b8dc0</vt:lpwstr>
  </property>
  <property fmtid="{D5CDD505-2E9C-101B-9397-08002B2CF9AE}" pid="7" name="MSIP_Label_a418307a-e70e-4ab4-836a-2d3f2c118089_ActionId">
    <vt:lpwstr>d3f450f0-2f95-422c-859e-710e45b236c5</vt:lpwstr>
  </property>
  <property fmtid="{D5CDD505-2E9C-101B-9397-08002B2CF9AE}" pid="8" name="MSIP_Label_a418307a-e70e-4ab4-836a-2d3f2c118089_ContentBits">
    <vt:lpwstr>0</vt:lpwstr>
  </property>
  <property fmtid="{D5CDD505-2E9C-101B-9397-08002B2CF9AE}" pid="9" name="MSIP_Label_a418307a-e70e-4ab4-836a-2d3f2c118089_Tag">
    <vt:lpwstr>10, 3, 0, 1</vt:lpwstr>
  </property>
</Properties>
</file>